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9D" w:rsidRPr="00A045C6" w:rsidRDefault="005B2A9D" w:rsidP="005B2A9D">
      <w:pPr>
        <w:autoSpaceDE/>
        <w:autoSpaceDN/>
        <w:jc w:val="center"/>
        <w:rPr>
          <w:b/>
          <w:bCs/>
          <w:sz w:val="24"/>
          <w:szCs w:val="24"/>
        </w:rPr>
      </w:pPr>
      <w:r w:rsidRPr="00A045C6">
        <w:rPr>
          <w:b/>
          <w:bCs/>
          <w:sz w:val="24"/>
          <w:szCs w:val="24"/>
        </w:rPr>
        <w:t>RENDSZEREK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A</w:t>
      </w:r>
      <w:proofErr w:type="gramEnd"/>
      <w:r>
        <w:rPr>
          <w:b/>
          <w:bCs/>
          <w:sz w:val="24"/>
          <w:szCs w:val="24"/>
        </w:rPr>
        <w:t xml:space="preserve"> TERMÉSZETTUDOMÁNYBAN (ZTT1101L</w:t>
      </w:r>
      <w:r w:rsidRPr="00A045C6">
        <w:rPr>
          <w:b/>
          <w:bCs/>
          <w:sz w:val="24"/>
          <w:szCs w:val="24"/>
        </w:rPr>
        <w:t>) tárgy</w:t>
      </w:r>
    </w:p>
    <w:p w:rsidR="005B2A9D" w:rsidRDefault="005B2A9D" w:rsidP="005B2A9D">
      <w:pPr>
        <w:autoSpaceDE/>
        <w:autoSpaceDN/>
        <w:jc w:val="center"/>
        <w:rPr>
          <w:b/>
          <w:bCs/>
          <w:sz w:val="24"/>
          <w:szCs w:val="24"/>
        </w:rPr>
      </w:pPr>
      <w:r w:rsidRPr="00A045C6">
        <w:rPr>
          <w:b/>
          <w:bCs/>
          <w:sz w:val="24"/>
          <w:szCs w:val="24"/>
        </w:rPr>
        <w:t>TEMATIKÁJA és KÖVETELMÉNYEI</w:t>
      </w:r>
    </w:p>
    <w:p w:rsidR="005B2A9D" w:rsidRPr="00BC0167" w:rsidRDefault="005B2A9D" w:rsidP="005B2A9D">
      <w:pPr>
        <w:autoSpaceDE/>
        <w:autoSpaceDN/>
        <w:rPr>
          <w:b/>
          <w:sz w:val="24"/>
          <w:szCs w:val="24"/>
        </w:rPr>
      </w:pPr>
    </w:p>
    <w:p w:rsidR="005B2A9D" w:rsidRPr="00A045C6" w:rsidRDefault="005B2A9D" w:rsidP="005B2A9D">
      <w:pPr>
        <w:autoSpaceDE/>
        <w:autoSpaceDN/>
        <w:jc w:val="center"/>
        <w:rPr>
          <w:b/>
          <w:i/>
          <w:sz w:val="24"/>
          <w:szCs w:val="24"/>
        </w:rPr>
      </w:pPr>
    </w:p>
    <w:p w:rsidR="005B2A9D" w:rsidRPr="00A045C6" w:rsidRDefault="005B2A9D" w:rsidP="005B2A9D">
      <w:pPr>
        <w:autoSpaceDE/>
        <w:autoSpaceDN/>
        <w:rPr>
          <w:sz w:val="24"/>
          <w:szCs w:val="24"/>
        </w:rPr>
      </w:pPr>
      <w:r w:rsidRPr="00A045C6">
        <w:rPr>
          <w:sz w:val="24"/>
          <w:szCs w:val="24"/>
        </w:rPr>
        <w:t>Bár levelező képzés még nem indult, a féléves munka a következő felosztásban fog történni:</w:t>
      </w:r>
    </w:p>
    <w:p w:rsidR="005B2A9D" w:rsidRPr="00A045C6" w:rsidRDefault="005B2A9D" w:rsidP="005B2A9D">
      <w:pPr>
        <w:autoSpaceDE/>
        <w:autoSpaceDN/>
        <w:rPr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5484"/>
        <w:gridCol w:w="2348"/>
      </w:tblGrid>
      <w:tr w:rsidR="005B2A9D" w:rsidRPr="00A045C6" w:rsidTr="00344B1F">
        <w:tc>
          <w:tcPr>
            <w:tcW w:w="590" w:type="dxa"/>
            <w:shd w:val="clear" w:color="auto" w:fill="auto"/>
          </w:tcPr>
          <w:p w:rsidR="005B2A9D" w:rsidRPr="00A045C6" w:rsidRDefault="005B2A9D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Konzultáció</w:t>
            </w:r>
            <w:proofErr w:type="gramEnd"/>
          </w:p>
        </w:tc>
        <w:tc>
          <w:tcPr>
            <w:tcW w:w="6161" w:type="dxa"/>
            <w:shd w:val="clear" w:color="auto" w:fill="auto"/>
          </w:tcPr>
          <w:p w:rsidR="005B2A9D" w:rsidRPr="00A045C6" w:rsidRDefault="005B2A9D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5B2A9D" w:rsidRPr="00A045C6" w:rsidRDefault="005B2A9D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Megjegyzés</w:t>
            </w:r>
          </w:p>
        </w:tc>
      </w:tr>
      <w:tr w:rsidR="005B2A9D" w:rsidRPr="00A045C6" w:rsidTr="00344B1F">
        <w:tc>
          <w:tcPr>
            <w:tcW w:w="590" w:type="dxa"/>
            <w:shd w:val="clear" w:color="auto" w:fill="auto"/>
          </w:tcPr>
          <w:p w:rsidR="005B2A9D" w:rsidRDefault="005B2A9D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5B2A9D" w:rsidRDefault="005B2A9D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2023 10.27.</w:t>
            </w:r>
          </w:p>
          <w:p w:rsidR="005B2A9D" w:rsidRDefault="005B2A9D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óra</w:t>
            </w:r>
          </w:p>
          <w:p w:rsidR="005B2A9D" w:rsidRPr="00A045C6" w:rsidRDefault="005B2A9D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B/404</w:t>
            </w:r>
          </w:p>
        </w:tc>
        <w:tc>
          <w:tcPr>
            <w:tcW w:w="6161" w:type="dxa"/>
            <w:shd w:val="clear" w:color="auto" w:fill="auto"/>
          </w:tcPr>
          <w:p w:rsidR="005B2A9D" w:rsidRPr="00A045C6" w:rsidRDefault="005B2A9D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 xml:space="preserve">Formák és arányok a természetben, mennyiség, mértékegység, váltószámok </w:t>
            </w:r>
          </w:p>
          <w:p w:rsidR="005B2A9D" w:rsidRPr="00A045C6" w:rsidRDefault="005B2A9D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A045C6">
              <w:rPr>
                <w:sz w:val="24"/>
                <w:szCs w:val="24"/>
              </w:rPr>
              <w:t>Biomolekulák</w:t>
            </w:r>
            <w:proofErr w:type="spellEnd"/>
          </w:p>
          <w:p w:rsidR="005B2A9D" w:rsidRPr="00A045C6" w:rsidRDefault="005B2A9D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 xml:space="preserve">Vírusok, baktériumok. </w:t>
            </w:r>
          </w:p>
          <w:p w:rsidR="005B2A9D" w:rsidRPr="00A045C6" w:rsidRDefault="005B2A9D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 xml:space="preserve">Növényi-, gomba-, és állati </w:t>
            </w:r>
            <w:proofErr w:type="spellStart"/>
            <w:r w:rsidRPr="00A045C6">
              <w:rPr>
                <w:sz w:val="24"/>
                <w:szCs w:val="24"/>
              </w:rPr>
              <w:t>euakarióta</w:t>
            </w:r>
            <w:proofErr w:type="spellEnd"/>
            <w:r w:rsidRPr="00A045C6">
              <w:rPr>
                <w:sz w:val="24"/>
                <w:szCs w:val="24"/>
              </w:rPr>
              <w:t xml:space="preserve"> sejtek felépítése. </w:t>
            </w:r>
          </w:p>
          <w:p w:rsidR="005B2A9D" w:rsidRPr="00A045C6" w:rsidRDefault="005B2A9D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>Növényi és állati szövetek.</w:t>
            </w:r>
          </w:p>
          <w:p w:rsidR="005B2A9D" w:rsidRPr="00A045C6" w:rsidRDefault="005B2A9D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>Izomműködés, fotoszintézis</w:t>
            </w:r>
          </w:p>
        </w:tc>
        <w:tc>
          <w:tcPr>
            <w:tcW w:w="2537" w:type="dxa"/>
            <w:shd w:val="clear" w:color="auto" w:fill="auto"/>
          </w:tcPr>
          <w:p w:rsidR="005B2A9D" w:rsidRPr="00A045C6" w:rsidRDefault="005B2A9D" w:rsidP="00344B1F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</w:tr>
      <w:tr w:rsidR="005B2A9D" w:rsidRPr="00A045C6" w:rsidTr="00344B1F">
        <w:tc>
          <w:tcPr>
            <w:tcW w:w="590" w:type="dxa"/>
            <w:shd w:val="clear" w:color="auto" w:fill="auto"/>
          </w:tcPr>
          <w:p w:rsidR="005B2A9D" w:rsidRDefault="005B2A9D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  <w:p w:rsidR="005B2A9D" w:rsidRDefault="005B2A9D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2023. 11.03.</w:t>
            </w:r>
          </w:p>
          <w:p w:rsidR="005B2A9D" w:rsidRDefault="005B2A9D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óra</w:t>
            </w:r>
          </w:p>
          <w:p w:rsidR="005B2A9D" w:rsidRPr="00A045C6" w:rsidRDefault="005B2A9D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B/404</w:t>
            </w:r>
          </w:p>
        </w:tc>
        <w:tc>
          <w:tcPr>
            <w:tcW w:w="6161" w:type="dxa"/>
            <w:shd w:val="clear" w:color="auto" w:fill="auto"/>
          </w:tcPr>
          <w:p w:rsidR="005B2A9D" w:rsidRPr="00A045C6" w:rsidRDefault="005B2A9D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>Energianyerés és energiafelhasználás módjai</w:t>
            </w:r>
          </w:p>
          <w:p w:rsidR="005B2A9D" w:rsidRPr="00A045C6" w:rsidRDefault="005B2A9D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>Anyagforgalom, táplálkozási hálózatok</w:t>
            </w:r>
          </w:p>
          <w:p w:rsidR="005B2A9D" w:rsidRPr="00A045C6" w:rsidRDefault="005B2A9D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A045C6">
              <w:rPr>
                <w:sz w:val="24"/>
                <w:szCs w:val="24"/>
              </w:rPr>
              <w:t>Homeosztázis</w:t>
            </w:r>
            <w:proofErr w:type="spellEnd"/>
            <w:r w:rsidRPr="00A045C6">
              <w:rPr>
                <w:sz w:val="24"/>
                <w:szCs w:val="24"/>
              </w:rPr>
              <w:t>, szabályozás, kommunikáció, tanulás</w:t>
            </w:r>
          </w:p>
          <w:p w:rsidR="005B2A9D" w:rsidRPr="00A045C6" w:rsidRDefault="005B2A9D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>Szaporodás</w:t>
            </w:r>
          </w:p>
          <w:p w:rsidR="005B2A9D" w:rsidRPr="00A045C6" w:rsidRDefault="005B2A9D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 xml:space="preserve">Az </w:t>
            </w:r>
            <w:proofErr w:type="gramStart"/>
            <w:r w:rsidRPr="00A045C6">
              <w:rPr>
                <w:sz w:val="24"/>
                <w:szCs w:val="24"/>
              </w:rPr>
              <w:t>evolúcióról</w:t>
            </w:r>
            <w:proofErr w:type="gramEnd"/>
            <w:r w:rsidRPr="00A045C6">
              <w:rPr>
                <w:sz w:val="24"/>
                <w:szCs w:val="24"/>
              </w:rPr>
              <w:t xml:space="preserve"> általában</w:t>
            </w:r>
          </w:p>
        </w:tc>
        <w:tc>
          <w:tcPr>
            <w:tcW w:w="2537" w:type="dxa"/>
            <w:shd w:val="clear" w:color="auto" w:fill="auto"/>
          </w:tcPr>
          <w:p w:rsidR="005B2A9D" w:rsidRPr="00A045C6" w:rsidRDefault="005B2A9D" w:rsidP="00344B1F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</w:tr>
    </w:tbl>
    <w:p w:rsidR="005B2A9D" w:rsidRPr="00A045C6" w:rsidRDefault="005B2A9D" w:rsidP="005B2A9D">
      <w:pPr>
        <w:autoSpaceDE/>
        <w:autoSpaceDN/>
        <w:rPr>
          <w:b/>
          <w:sz w:val="24"/>
          <w:szCs w:val="24"/>
        </w:rPr>
      </w:pPr>
    </w:p>
    <w:p w:rsidR="005B2A9D" w:rsidRDefault="005B2A9D" w:rsidP="005B2A9D">
      <w:pPr>
        <w:autoSpaceDE/>
        <w:autoSpaceDN/>
        <w:jc w:val="center"/>
        <w:rPr>
          <w:b/>
          <w:sz w:val="24"/>
          <w:szCs w:val="24"/>
        </w:rPr>
      </w:pPr>
    </w:p>
    <w:p w:rsidR="005B2A9D" w:rsidRDefault="005B2A9D" w:rsidP="005B2A9D">
      <w:pPr>
        <w:autoSpaceDE/>
        <w:autoSpaceDN/>
        <w:jc w:val="center"/>
        <w:rPr>
          <w:b/>
          <w:sz w:val="24"/>
          <w:szCs w:val="24"/>
        </w:rPr>
      </w:pPr>
    </w:p>
    <w:p w:rsidR="005B2A9D" w:rsidRPr="00A045C6" w:rsidRDefault="005B2A9D" w:rsidP="005B2A9D">
      <w:pPr>
        <w:autoSpaceDE/>
        <w:autoSpaceDN/>
        <w:jc w:val="center"/>
        <w:rPr>
          <w:b/>
          <w:sz w:val="24"/>
          <w:szCs w:val="24"/>
        </w:rPr>
      </w:pPr>
      <w:r w:rsidRPr="00A045C6">
        <w:rPr>
          <w:b/>
          <w:sz w:val="24"/>
          <w:szCs w:val="24"/>
        </w:rPr>
        <w:t>Követelmények:</w:t>
      </w:r>
    </w:p>
    <w:p w:rsidR="005B2A9D" w:rsidRPr="00A045C6" w:rsidRDefault="005B2A9D" w:rsidP="005B2A9D">
      <w:pPr>
        <w:autoSpaceDE/>
        <w:autoSpaceDN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6"/>
        <w:gridCol w:w="4576"/>
      </w:tblGrid>
      <w:tr w:rsidR="005B2A9D" w:rsidRPr="00A045C6" w:rsidTr="00344B1F">
        <w:tc>
          <w:tcPr>
            <w:tcW w:w="4606" w:type="dxa"/>
          </w:tcPr>
          <w:p w:rsidR="005B2A9D" w:rsidRPr="00A045C6" w:rsidRDefault="005B2A9D" w:rsidP="00344B1F">
            <w:pPr>
              <w:autoSpaceDE/>
              <w:autoSpaceDN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>A foglalkozásokon való részvétel előírásai:</w:t>
            </w:r>
          </w:p>
        </w:tc>
        <w:tc>
          <w:tcPr>
            <w:tcW w:w="4606" w:type="dxa"/>
          </w:tcPr>
          <w:p w:rsidR="005B2A9D" w:rsidRPr="00A045C6" w:rsidRDefault="005B2A9D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color w:val="000000"/>
                <w:sz w:val="23"/>
                <w:szCs w:val="23"/>
              </w:rPr>
              <w:t>A szemináriumok látogatása kötelező</w:t>
            </w:r>
          </w:p>
        </w:tc>
      </w:tr>
      <w:tr w:rsidR="005B2A9D" w:rsidRPr="00A045C6" w:rsidTr="00344B1F">
        <w:tc>
          <w:tcPr>
            <w:tcW w:w="4606" w:type="dxa"/>
          </w:tcPr>
          <w:p w:rsidR="005B2A9D" w:rsidRPr="00A045C6" w:rsidRDefault="005B2A9D" w:rsidP="00344B1F">
            <w:pPr>
              <w:autoSpaceDE/>
              <w:autoSpaceDN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>A félévi ellenőrzések követelményei:</w:t>
            </w:r>
          </w:p>
        </w:tc>
        <w:tc>
          <w:tcPr>
            <w:tcW w:w="4606" w:type="dxa"/>
          </w:tcPr>
          <w:p w:rsidR="005B2A9D" w:rsidRPr="00A045C6" w:rsidRDefault="005B2A9D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 xml:space="preserve">A tárgy keretében a hallgatók </w:t>
            </w:r>
            <w:proofErr w:type="gramStart"/>
            <w:r w:rsidRPr="00A045C6">
              <w:rPr>
                <w:sz w:val="24"/>
                <w:szCs w:val="24"/>
              </w:rPr>
              <w:t>aktív</w:t>
            </w:r>
            <w:proofErr w:type="gramEnd"/>
            <w:r w:rsidRPr="00A045C6">
              <w:rPr>
                <w:sz w:val="24"/>
                <w:szCs w:val="24"/>
              </w:rPr>
              <w:t xml:space="preserve"> részvételére építő szemináriumi formában tárgyaljuk az egyes témaköröket. A hallgatók a félév végéig szabadon választott témakörből dolgozatot készíthetnek, melynek megfelelő színvonala esetén megajánlott érdemjeggyel válthatják ki a kollokviumot.</w:t>
            </w:r>
          </w:p>
        </w:tc>
      </w:tr>
      <w:tr w:rsidR="005B2A9D" w:rsidRPr="00A045C6" w:rsidTr="00344B1F">
        <w:tc>
          <w:tcPr>
            <w:tcW w:w="4606" w:type="dxa"/>
          </w:tcPr>
          <w:p w:rsidR="005B2A9D" w:rsidRPr="00A045C6" w:rsidRDefault="005B2A9D" w:rsidP="00344B1F">
            <w:pPr>
              <w:autoSpaceDE/>
              <w:autoSpaceDN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>A tantárgyhoz rendelt kredit:</w:t>
            </w:r>
          </w:p>
        </w:tc>
        <w:tc>
          <w:tcPr>
            <w:tcW w:w="4606" w:type="dxa"/>
          </w:tcPr>
          <w:p w:rsidR="005B2A9D" w:rsidRPr="00A045C6" w:rsidRDefault="005B2A9D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>3</w:t>
            </w:r>
          </w:p>
        </w:tc>
      </w:tr>
      <w:tr w:rsidR="005B2A9D" w:rsidRPr="00A045C6" w:rsidTr="00344B1F">
        <w:tc>
          <w:tcPr>
            <w:tcW w:w="4606" w:type="dxa"/>
          </w:tcPr>
          <w:p w:rsidR="005B2A9D" w:rsidRPr="00A045C6" w:rsidRDefault="005B2A9D" w:rsidP="00344B1F">
            <w:pPr>
              <w:autoSpaceDE/>
              <w:autoSpaceDN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>Az érdemjegy kialakítás módja:</w:t>
            </w:r>
          </w:p>
        </w:tc>
        <w:tc>
          <w:tcPr>
            <w:tcW w:w="4606" w:type="dxa"/>
          </w:tcPr>
          <w:p w:rsidR="005B2A9D" w:rsidRPr="00A045C6" w:rsidRDefault="005B2A9D" w:rsidP="00344B1F">
            <w:pPr>
              <w:autoSpaceDE/>
              <w:autoSpaceDN/>
              <w:rPr>
                <w:color w:val="252525"/>
                <w:sz w:val="24"/>
                <w:szCs w:val="24"/>
              </w:rPr>
            </w:pPr>
            <w:r w:rsidRPr="00A045C6">
              <w:rPr>
                <w:color w:val="252525"/>
                <w:sz w:val="24"/>
                <w:szCs w:val="24"/>
              </w:rPr>
              <w:t>A vizsga szóbeli, az előzetesen kiadott tematika és irodalomjegyzék alapján.</w:t>
            </w:r>
          </w:p>
          <w:p w:rsidR="005B2A9D" w:rsidRPr="00A045C6" w:rsidRDefault="005B2A9D" w:rsidP="00344B1F">
            <w:pPr>
              <w:autoSpaceDE/>
              <w:autoSpaceDN/>
              <w:rPr>
                <w:color w:val="252525"/>
                <w:sz w:val="24"/>
                <w:szCs w:val="24"/>
              </w:rPr>
            </w:pPr>
            <w:r w:rsidRPr="00A045C6">
              <w:rPr>
                <w:color w:val="252525"/>
                <w:sz w:val="24"/>
                <w:szCs w:val="24"/>
              </w:rPr>
              <w:t>A teljesítmény értékelése:</w:t>
            </w:r>
          </w:p>
          <w:p w:rsidR="005B2A9D" w:rsidRPr="00A045C6" w:rsidRDefault="005B2A9D" w:rsidP="00344B1F">
            <w:pPr>
              <w:autoSpaceDE/>
              <w:autoSpaceDN/>
              <w:rPr>
                <w:color w:val="252525"/>
                <w:sz w:val="24"/>
                <w:szCs w:val="24"/>
              </w:rPr>
            </w:pPr>
            <w:r w:rsidRPr="00A045C6">
              <w:rPr>
                <w:color w:val="252525"/>
                <w:sz w:val="24"/>
                <w:szCs w:val="24"/>
              </w:rPr>
              <w:t>0-49 %: elégtelen</w:t>
            </w:r>
          </w:p>
          <w:p w:rsidR="005B2A9D" w:rsidRPr="00A045C6" w:rsidRDefault="005B2A9D" w:rsidP="00344B1F">
            <w:pPr>
              <w:autoSpaceDE/>
              <w:autoSpaceDN/>
              <w:rPr>
                <w:color w:val="252525"/>
                <w:sz w:val="24"/>
                <w:szCs w:val="24"/>
              </w:rPr>
            </w:pPr>
            <w:r w:rsidRPr="00A045C6">
              <w:rPr>
                <w:color w:val="252525"/>
                <w:sz w:val="24"/>
                <w:szCs w:val="24"/>
              </w:rPr>
              <w:t>50-59 %: elégséges</w:t>
            </w:r>
          </w:p>
          <w:p w:rsidR="005B2A9D" w:rsidRPr="00A045C6" w:rsidRDefault="005B2A9D" w:rsidP="00344B1F">
            <w:pPr>
              <w:autoSpaceDE/>
              <w:autoSpaceDN/>
              <w:rPr>
                <w:color w:val="252525"/>
                <w:sz w:val="24"/>
                <w:szCs w:val="24"/>
              </w:rPr>
            </w:pPr>
            <w:r w:rsidRPr="00A045C6">
              <w:rPr>
                <w:color w:val="252525"/>
                <w:sz w:val="24"/>
                <w:szCs w:val="24"/>
              </w:rPr>
              <w:t>60-79 % közepes</w:t>
            </w:r>
          </w:p>
          <w:p w:rsidR="005B2A9D" w:rsidRPr="00A045C6" w:rsidRDefault="005B2A9D" w:rsidP="00344B1F">
            <w:pPr>
              <w:autoSpaceDE/>
              <w:autoSpaceDN/>
              <w:rPr>
                <w:color w:val="252525"/>
                <w:sz w:val="24"/>
                <w:szCs w:val="24"/>
              </w:rPr>
            </w:pPr>
            <w:r w:rsidRPr="00A045C6">
              <w:rPr>
                <w:color w:val="252525"/>
                <w:sz w:val="24"/>
                <w:szCs w:val="24"/>
              </w:rPr>
              <w:t>80-89 %: jó</w:t>
            </w:r>
          </w:p>
          <w:p w:rsidR="005B2A9D" w:rsidRPr="00A045C6" w:rsidRDefault="005B2A9D" w:rsidP="00344B1F">
            <w:pPr>
              <w:autoSpaceDE/>
              <w:autoSpaceDN/>
              <w:rPr>
                <w:color w:val="252525"/>
                <w:sz w:val="24"/>
                <w:szCs w:val="24"/>
              </w:rPr>
            </w:pPr>
            <w:r w:rsidRPr="00A045C6">
              <w:rPr>
                <w:color w:val="252525"/>
                <w:sz w:val="24"/>
                <w:szCs w:val="24"/>
              </w:rPr>
              <w:t>90-100 %: jeles</w:t>
            </w:r>
          </w:p>
        </w:tc>
      </w:tr>
      <w:tr w:rsidR="005B2A9D" w:rsidRPr="00A045C6" w:rsidTr="00344B1F">
        <w:tc>
          <w:tcPr>
            <w:tcW w:w="4606" w:type="dxa"/>
          </w:tcPr>
          <w:p w:rsidR="005B2A9D" w:rsidRPr="00A045C6" w:rsidRDefault="005B2A9D" w:rsidP="00344B1F">
            <w:pPr>
              <w:autoSpaceDE/>
              <w:autoSpaceDN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>Ajánlott irodalom:</w:t>
            </w:r>
          </w:p>
        </w:tc>
        <w:tc>
          <w:tcPr>
            <w:tcW w:w="4606" w:type="dxa"/>
          </w:tcPr>
          <w:p w:rsidR="005547B5" w:rsidRPr="00CB54FE" w:rsidRDefault="005547B5" w:rsidP="005547B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CB54FE">
              <w:rPr>
                <w:sz w:val="24"/>
                <w:szCs w:val="24"/>
              </w:rPr>
              <w:t xml:space="preserve">Kiss F, Lakatos </w:t>
            </w:r>
            <w:proofErr w:type="spellStart"/>
            <w:r w:rsidRPr="00CB54FE">
              <w:rPr>
                <w:sz w:val="24"/>
                <w:szCs w:val="24"/>
              </w:rPr>
              <w:t>Gy</w:t>
            </w:r>
            <w:proofErr w:type="spellEnd"/>
            <w:r w:rsidRPr="00CB54FE">
              <w:rPr>
                <w:sz w:val="24"/>
                <w:szCs w:val="24"/>
              </w:rPr>
              <w:t xml:space="preserve">, </w:t>
            </w:r>
            <w:proofErr w:type="spellStart"/>
            <w:r w:rsidRPr="00CB54FE">
              <w:rPr>
                <w:sz w:val="24"/>
                <w:szCs w:val="24"/>
              </w:rPr>
              <w:t>Rakonczai</w:t>
            </w:r>
            <w:proofErr w:type="spellEnd"/>
            <w:r w:rsidRPr="00CB54FE">
              <w:rPr>
                <w:sz w:val="24"/>
                <w:szCs w:val="24"/>
              </w:rPr>
              <w:t xml:space="preserve"> J (2011) Környezettani alapismeretek, digitális tankönyv (</w:t>
            </w:r>
            <w:hyperlink r:id="rId6" w:history="1">
              <w:r w:rsidRPr="00CB54FE">
                <w:rPr>
                  <w:rStyle w:val="Hiperhivatkozs"/>
                  <w:sz w:val="24"/>
                  <w:szCs w:val="24"/>
                </w:rPr>
                <w:t>http://www.nye.hu/kornyezet/node/8</w:t>
              </w:r>
            </w:hyperlink>
            <w:r w:rsidRPr="00CB54FE">
              <w:rPr>
                <w:sz w:val="24"/>
                <w:szCs w:val="24"/>
              </w:rPr>
              <w:t>)</w:t>
            </w:r>
          </w:p>
          <w:p w:rsidR="005547B5" w:rsidRPr="00CB54FE" w:rsidRDefault="005547B5" w:rsidP="005547B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CB54FE">
              <w:rPr>
                <w:sz w:val="24"/>
                <w:szCs w:val="24"/>
              </w:rPr>
              <w:t>Kiss F</w:t>
            </w:r>
            <w:proofErr w:type="gramStart"/>
            <w:r w:rsidRPr="00CB54FE">
              <w:rPr>
                <w:sz w:val="24"/>
                <w:szCs w:val="24"/>
              </w:rPr>
              <w:t>.,</w:t>
            </w:r>
            <w:proofErr w:type="gramEnd"/>
            <w:r w:rsidRPr="00CB54FE">
              <w:rPr>
                <w:sz w:val="24"/>
                <w:szCs w:val="24"/>
              </w:rPr>
              <w:t xml:space="preserve"> </w:t>
            </w:r>
            <w:proofErr w:type="spellStart"/>
            <w:r w:rsidRPr="00CB54FE">
              <w:rPr>
                <w:sz w:val="24"/>
                <w:szCs w:val="24"/>
              </w:rPr>
              <w:t>Vallner</w:t>
            </w:r>
            <w:proofErr w:type="spellEnd"/>
            <w:r w:rsidRPr="00CB54FE">
              <w:rPr>
                <w:sz w:val="24"/>
                <w:szCs w:val="24"/>
              </w:rPr>
              <w:t xml:space="preserve"> Judit (2000): Környezettudományi alapismeretek, a „Természettudományi Alapismeretek” c. tankönyvben (</w:t>
            </w:r>
            <w:proofErr w:type="spellStart"/>
            <w:r w:rsidRPr="00CB54FE">
              <w:rPr>
                <w:sz w:val="24"/>
                <w:szCs w:val="24"/>
              </w:rPr>
              <w:t>szerk</w:t>
            </w:r>
            <w:proofErr w:type="spellEnd"/>
            <w:r w:rsidRPr="00CB54FE">
              <w:rPr>
                <w:sz w:val="24"/>
                <w:szCs w:val="24"/>
              </w:rPr>
              <w:t xml:space="preserve">.: </w:t>
            </w:r>
            <w:proofErr w:type="spellStart"/>
            <w:r w:rsidRPr="00CB54FE">
              <w:rPr>
                <w:sz w:val="24"/>
                <w:szCs w:val="24"/>
              </w:rPr>
              <w:t>Iszáj</w:t>
            </w:r>
            <w:proofErr w:type="spellEnd"/>
            <w:r w:rsidRPr="00CB54FE">
              <w:rPr>
                <w:sz w:val="24"/>
                <w:szCs w:val="24"/>
              </w:rPr>
              <w:t xml:space="preserve"> </w:t>
            </w:r>
            <w:r w:rsidRPr="00CB54FE">
              <w:rPr>
                <w:sz w:val="24"/>
                <w:szCs w:val="24"/>
              </w:rPr>
              <w:lastRenderedPageBreak/>
              <w:t>Ferenc),  Nyíregyháza, Bessenyei György Könyvkiadó, 403-480. o.</w:t>
            </w:r>
          </w:p>
          <w:p w:rsidR="005547B5" w:rsidRDefault="005547B5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5B2A9D" w:rsidRPr="00A045C6" w:rsidRDefault="005B2A9D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A045C6">
              <w:rPr>
                <w:sz w:val="24"/>
                <w:szCs w:val="24"/>
              </w:rPr>
              <w:t>Yuval</w:t>
            </w:r>
            <w:proofErr w:type="spellEnd"/>
            <w:r w:rsidRPr="00A045C6">
              <w:rPr>
                <w:sz w:val="24"/>
                <w:szCs w:val="24"/>
              </w:rPr>
              <w:t xml:space="preserve"> </w:t>
            </w:r>
            <w:proofErr w:type="spellStart"/>
            <w:r w:rsidRPr="00A045C6">
              <w:rPr>
                <w:sz w:val="24"/>
                <w:szCs w:val="24"/>
              </w:rPr>
              <w:t>Noah</w:t>
            </w:r>
            <w:proofErr w:type="spellEnd"/>
            <w:r w:rsidRPr="00A045C6">
              <w:rPr>
                <w:sz w:val="24"/>
                <w:szCs w:val="24"/>
              </w:rPr>
              <w:t xml:space="preserve"> </w:t>
            </w:r>
            <w:proofErr w:type="spellStart"/>
            <w:r w:rsidRPr="00A045C6">
              <w:rPr>
                <w:sz w:val="24"/>
                <w:szCs w:val="24"/>
              </w:rPr>
              <w:t>Harari</w:t>
            </w:r>
            <w:proofErr w:type="spellEnd"/>
            <w:r w:rsidRPr="00A045C6">
              <w:rPr>
                <w:sz w:val="24"/>
                <w:szCs w:val="24"/>
              </w:rPr>
              <w:t xml:space="preserve">: Sapiens – Az emberiség rövid története. </w:t>
            </w:r>
            <w:proofErr w:type="spellStart"/>
            <w:r w:rsidRPr="00A045C6">
              <w:rPr>
                <w:sz w:val="24"/>
                <w:szCs w:val="24"/>
              </w:rPr>
              <w:t>Animus</w:t>
            </w:r>
            <w:proofErr w:type="spellEnd"/>
            <w:r w:rsidRPr="00A045C6">
              <w:rPr>
                <w:sz w:val="24"/>
                <w:szCs w:val="24"/>
              </w:rPr>
              <w:t xml:space="preserve"> Kiadó, 2020.</w:t>
            </w:r>
          </w:p>
        </w:tc>
      </w:tr>
      <w:tr w:rsidR="005B2A9D" w:rsidRPr="00A045C6" w:rsidTr="00344B1F">
        <w:tc>
          <w:tcPr>
            <w:tcW w:w="4606" w:type="dxa"/>
          </w:tcPr>
          <w:p w:rsidR="005B2A9D" w:rsidRPr="00A045C6" w:rsidRDefault="005B2A9D" w:rsidP="00344B1F">
            <w:pPr>
              <w:autoSpaceDE/>
              <w:autoSpaceDN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lastRenderedPageBreak/>
              <w:t>Ajánlott weboldalak:</w:t>
            </w:r>
          </w:p>
        </w:tc>
        <w:tc>
          <w:tcPr>
            <w:tcW w:w="4606" w:type="dxa"/>
          </w:tcPr>
          <w:p w:rsidR="005B2A9D" w:rsidRPr="00A045C6" w:rsidRDefault="005B2A9D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</w:tbl>
    <w:p w:rsidR="005B2A9D" w:rsidRPr="008E0E19" w:rsidRDefault="005B2A9D" w:rsidP="005B2A9D"/>
    <w:p w:rsidR="00E42C8B" w:rsidRPr="005B2A9D" w:rsidRDefault="00E42C8B" w:rsidP="005B2A9D"/>
    <w:sectPr w:rsidR="00E42C8B" w:rsidRPr="005B2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E6A"/>
    <w:multiLevelType w:val="hybridMultilevel"/>
    <w:tmpl w:val="5EBE36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81"/>
    <w:rsid w:val="000D7704"/>
    <w:rsid w:val="00144881"/>
    <w:rsid w:val="004F6C4C"/>
    <w:rsid w:val="005547B5"/>
    <w:rsid w:val="005B2A9D"/>
    <w:rsid w:val="007F32FE"/>
    <w:rsid w:val="0090076A"/>
    <w:rsid w:val="00E42C8B"/>
    <w:rsid w:val="00F3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1952"/>
  <w15:chartTrackingRefBased/>
  <w15:docId w15:val="{BCF10811-4512-4892-800C-FCA2B158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2A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35E81"/>
    <w:pPr>
      <w:autoSpaceDE/>
      <w:autoSpaceDN/>
      <w:spacing w:line="360" w:lineRule="auto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F35E81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rsid w:val="00F35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14488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4881"/>
    <w:pPr>
      <w:autoSpaceDE/>
      <w:autoSpaceDN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81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554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ye.hu/kornyezet/node/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D34D0-6BED-4460-B4B6-38E92CAB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Popovicsné Oroszi Erika</dc:creator>
  <cp:keywords/>
  <dc:description/>
  <cp:lastModifiedBy>OTDK</cp:lastModifiedBy>
  <cp:revision>3</cp:revision>
  <dcterms:created xsi:type="dcterms:W3CDTF">2023-09-18T07:42:00Z</dcterms:created>
  <dcterms:modified xsi:type="dcterms:W3CDTF">2023-09-18T08:02:00Z</dcterms:modified>
</cp:coreProperties>
</file>